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616636"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9616AA" w:rsidP="00AC4A99">
            <w:pPr>
              <w:jc w:val="center"/>
              <w:rPr>
                <w:b/>
                <w:szCs w:val="22"/>
              </w:rPr>
            </w:pPr>
            <w:r>
              <w:rPr>
                <w:b/>
                <w:szCs w:val="22"/>
              </w:rPr>
              <w:t xml:space="preserve">Planning </w:t>
            </w:r>
            <w:r w:rsidR="00EB2D32" w:rsidRPr="00BE2A3F">
              <w:rPr>
                <w:b/>
                <w:szCs w:val="22"/>
              </w:rPr>
              <w:t>Committee</w:t>
            </w:r>
          </w:p>
        </w:tc>
        <w:tc>
          <w:tcPr>
            <w:tcW w:w="2268" w:type="dxa"/>
            <w:gridSpan w:val="2"/>
            <w:tcBorders>
              <w:bottom w:val="nil"/>
            </w:tcBorders>
            <w:vAlign w:val="center"/>
          </w:tcPr>
          <w:p w:rsidR="002F5C5E" w:rsidRPr="009616AA" w:rsidRDefault="00642EE9" w:rsidP="00642EE9">
            <w:pPr>
              <w:jc w:val="center"/>
              <w:rPr>
                <w:b/>
              </w:rPr>
            </w:pPr>
            <w:r>
              <w:rPr>
                <w:b/>
                <w:color w:val="000000" w:themeColor="text1"/>
              </w:rPr>
              <w:t>18 September</w:t>
            </w:r>
            <w:r w:rsidR="009616AA" w:rsidRPr="009616AA">
              <w:rPr>
                <w:b/>
                <w:color w:val="000000" w:themeColor="text1"/>
              </w:rPr>
              <w:t xml:space="preserve"> 201</w:t>
            </w:r>
            <w:r w:rsidR="00FB175A">
              <w:rPr>
                <w:b/>
                <w:color w:val="000000" w:themeColor="text1"/>
              </w:rPr>
              <w:t>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642EE9" w:rsidRDefault="00642EE9" w:rsidP="009616AA">
            <w:pPr>
              <w:jc w:val="center"/>
              <w:rPr>
                <w:b/>
                <w:color w:val="000000" w:themeColor="text1"/>
              </w:rPr>
            </w:pPr>
            <w:r>
              <w:rPr>
                <w:b/>
                <w:color w:val="000000" w:themeColor="text1"/>
              </w:rPr>
              <w:t xml:space="preserve">Planning Application Received by Lancashire County Council (LCC/2019/0029) - </w:t>
            </w:r>
          </w:p>
          <w:p w:rsidR="00642EE9" w:rsidRDefault="00642EE9" w:rsidP="00642EE9">
            <w:pPr>
              <w:jc w:val="center"/>
              <w:rPr>
                <w:b/>
                <w:color w:val="000000" w:themeColor="text1"/>
              </w:rPr>
            </w:pPr>
            <w:r>
              <w:rPr>
                <w:b/>
                <w:color w:val="000000" w:themeColor="text1"/>
              </w:rPr>
              <w:t>Land At Red Scar Industrial Estate, Longridge Road, Ribbleton, Preston</w:t>
            </w:r>
          </w:p>
          <w:p w:rsidR="0047741D" w:rsidRPr="009E2B84" w:rsidRDefault="0047741D" w:rsidP="00642EE9">
            <w:pPr>
              <w:rPr>
                <w:b/>
              </w:rPr>
            </w:pPr>
          </w:p>
        </w:tc>
        <w:tc>
          <w:tcPr>
            <w:tcW w:w="2977" w:type="dxa"/>
            <w:gridSpan w:val="2"/>
            <w:vAlign w:val="center"/>
          </w:tcPr>
          <w:p w:rsidR="0047741D" w:rsidRPr="009616AA" w:rsidRDefault="009616AA" w:rsidP="009616AA">
            <w:pPr>
              <w:jc w:val="center"/>
              <w:rPr>
                <w:b/>
              </w:rPr>
            </w:pPr>
            <w:r w:rsidRPr="009616AA">
              <w:rPr>
                <w:b/>
                <w:color w:val="000000" w:themeColor="text1"/>
              </w:rPr>
              <w:t>Director of Planning and Property</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C73E5F" w:rsidRDefault="00C73E5F" w:rsidP="00E2196F">
            <w:pPr>
              <w:rPr>
                <w:szCs w:val="22"/>
              </w:rPr>
            </w:pPr>
          </w:p>
          <w:p w:rsidR="0047741D" w:rsidRDefault="0047741D" w:rsidP="00E2196F">
            <w:pPr>
              <w:rPr>
                <w:szCs w:val="22"/>
              </w:rPr>
            </w:pPr>
            <w:r>
              <w:rPr>
                <w:szCs w:val="22"/>
              </w:rPr>
              <w:t>Is this report confidential?</w:t>
            </w:r>
          </w:p>
          <w:p w:rsidR="00C73E5F" w:rsidRPr="009C1143" w:rsidRDefault="00C73E5F" w:rsidP="00E2196F">
            <w:pPr>
              <w:rPr>
                <w:szCs w:val="22"/>
              </w:rPr>
            </w:pPr>
          </w:p>
        </w:tc>
        <w:tc>
          <w:tcPr>
            <w:tcW w:w="3266" w:type="dxa"/>
            <w:shd w:val="clear" w:color="auto" w:fill="auto"/>
          </w:tcPr>
          <w:p w:rsidR="00C73E5F" w:rsidRDefault="00C73E5F" w:rsidP="009616AA">
            <w:pPr>
              <w:rPr>
                <w:b/>
                <w:szCs w:val="22"/>
              </w:rPr>
            </w:pPr>
          </w:p>
          <w:p w:rsidR="0047741D" w:rsidRPr="00C73E5F" w:rsidRDefault="00F3110B" w:rsidP="009616AA">
            <w:pPr>
              <w:rPr>
                <w:rFonts w:ascii="ArialMT" w:hAnsi="ArialMT" w:cs="ArialMT"/>
                <w:b/>
                <w:szCs w:val="22"/>
              </w:rPr>
            </w:pPr>
            <w:r>
              <w:rPr>
                <w:b/>
                <w:szCs w:val="22"/>
              </w:rPr>
              <w:t>No</w:t>
            </w: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C73E5F">
      <w:pPr>
        <w:keepNext/>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642EE9" w:rsidRDefault="00C31CA9" w:rsidP="00C31CA9">
      <w:pPr>
        <w:keepNext/>
        <w:ind w:left="426" w:hanging="426"/>
        <w:outlineLvl w:val="0"/>
        <w:rPr>
          <w:color w:val="000000" w:themeColor="text1"/>
        </w:rPr>
      </w:pPr>
      <w:r w:rsidRPr="00C31CA9">
        <w:rPr>
          <w:color w:val="000000" w:themeColor="text1"/>
          <w:szCs w:val="22"/>
        </w:rPr>
        <w:t>1.</w:t>
      </w:r>
      <w:r>
        <w:rPr>
          <w:color w:val="000000" w:themeColor="text1"/>
        </w:rPr>
        <w:tab/>
      </w:r>
      <w:r w:rsidR="00642EE9" w:rsidRPr="00C31CA9">
        <w:rPr>
          <w:color w:val="000000" w:themeColor="text1"/>
        </w:rPr>
        <w:t>Lancashire County Council (LCC) have received a planning application</w:t>
      </w:r>
      <w:r>
        <w:rPr>
          <w:color w:val="000000" w:themeColor="text1"/>
        </w:rPr>
        <w:t xml:space="preserve"> (LCC ref. LCC/2019/0029)</w:t>
      </w:r>
      <w:r w:rsidR="00642EE9" w:rsidRPr="00C31CA9">
        <w:rPr>
          <w:color w:val="000000" w:themeColor="text1"/>
        </w:rPr>
        <w:t xml:space="preserve"> for an Energy Recovery Facility (ERF)</w:t>
      </w:r>
      <w:r>
        <w:rPr>
          <w:color w:val="000000" w:themeColor="text1"/>
        </w:rPr>
        <w:t xml:space="preserve"> within the Red Scar Industrial Estate, Ribbleton, Preston.</w:t>
      </w:r>
      <w:r w:rsidR="00F5317A">
        <w:rPr>
          <w:color w:val="000000" w:themeColor="text1"/>
        </w:rPr>
        <w:t xml:space="preserve">  This planning application is due to be considered by the County Council’s Planning Committee at a meeting later this year.  In considering the planning application LCC’s Planning Department have consulted various statutory consultees, including ourselves, for views on the submission.</w:t>
      </w:r>
    </w:p>
    <w:p w:rsidR="00F5317A" w:rsidRDefault="00F5317A" w:rsidP="00C31CA9">
      <w:pPr>
        <w:keepNext/>
        <w:ind w:left="426" w:hanging="426"/>
        <w:outlineLvl w:val="0"/>
        <w:rPr>
          <w:color w:val="000000" w:themeColor="text1"/>
        </w:rPr>
      </w:pPr>
    </w:p>
    <w:p w:rsidR="00F5317A" w:rsidRPr="00C31CA9" w:rsidRDefault="00C73E5F" w:rsidP="00C31CA9">
      <w:pPr>
        <w:keepNext/>
        <w:ind w:left="426" w:hanging="426"/>
        <w:outlineLvl w:val="0"/>
        <w:rPr>
          <w:color w:val="000000" w:themeColor="text1"/>
        </w:rPr>
      </w:pPr>
      <w:r>
        <w:rPr>
          <w:color w:val="000000" w:themeColor="text1"/>
        </w:rPr>
        <w:t xml:space="preserve">2. </w:t>
      </w:r>
      <w:r>
        <w:rPr>
          <w:color w:val="000000" w:themeColor="text1"/>
        </w:rPr>
        <w:tab/>
      </w:r>
      <w:r w:rsidR="00F5317A">
        <w:rPr>
          <w:color w:val="000000" w:themeColor="text1"/>
        </w:rPr>
        <w:t>This report seeks resolution from the Planning Committee as</w:t>
      </w:r>
      <w:r w:rsidR="00FA09FB">
        <w:rPr>
          <w:color w:val="000000" w:themeColor="text1"/>
        </w:rPr>
        <w:t xml:space="preserve"> to what response is provided to LCC in relation to the planning application currently under consideration.</w:t>
      </w:r>
    </w:p>
    <w:p w:rsidR="002F5C5E" w:rsidRPr="009C1143" w:rsidRDefault="002F5C5E" w:rsidP="002F5C5E">
      <w:pPr>
        <w:rPr>
          <w:szCs w:val="22"/>
        </w:rPr>
      </w:pPr>
    </w:p>
    <w:p w:rsidR="002F5C5E" w:rsidRDefault="00FA09FB" w:rsidP="00C73E5F">
      <w:pPr>
        <w:keepNext/>
        <w:outlineLvl w:val="0"/>
        <w:rPr>
          <w:b/>
          <w:szCs w:val="22"/>
        </w:rPr>
      </w:pPr>
      <w:r>
        <w:rPr>
          <w:b/>
          <w:szCs w:val="22"/>
        </w:rPr>
        <w:t>RECOMMENDATION</w:t>
      </w:r>
    </w:p>
    <w:p w:rsidR="00FA09FB" w:rsidRPr="00BC66B8" w:rsidRDefault="00FA09FB" w:rsidP="000B5251">
      <w:pPr>
        <w:keepNext/>
        <w:ind w:left="360"/>
        <w:outlineLvl w:val="0"/>
        <w:rPr>
          <w:b/>
          <w:szCs w:val="22"/>
        </w:rPr>
      </w:pPr>
    </w:p>
    <w:p w:rsidR="002F5C5E" w:rsidRPr="00CA5E94" w:rsidRDefault="00C73E5F" w:rsidP="00CA5E94">
      <w:pPr>
        <w:ind w:left="426" w:hanging="426"/>
        <w:rPr>
          <w:color w:val="000000" w:themeColor="text1"/>
        </w:rPr>
      </w:pPr>
      <w:r>
        <w:rPr>
          <w:color w:val="000000" w:themeColor="text1"/>
          <w:szCs w:val="22"/>
        </w:rPr>
        <w:t xml:space="preserve">3. </w:t>
      </w:r>
      <w:r>
        <w:rPr>
          <w:color w:val="000000" w:themeColor="text1"/>
          <w:szCs w:val="22"/>
        </w:rPr>
        <w:tab/>
      </w:r>
      <w:r w:rsidR="007E081A" w:rsidRPr="00CA5E94">
        <w:rPr>
          <w:color w:val="000000" w:themeColor="text1"/>
        </w:rPr>
        <w:t xml:space="preserve">That Members </w:t>
      </w:r>
      <w:r w:rsidR="00FA09FB">
        <w:rPr>
          <w:color w:val="000000" w:themeColor="text1"/>
        </w:rPr>
        <w:t>raise no objections to the proposal</w:t>
      </w:r>
    </w:p>
    <w:p w:rsidR="002F5C5E" w:rsidRPr="00B610BF" w:rsidRDefault="002F5C5E" w:rsidP="002F5C5E">
      <w:pPr>
        <w:rPr>
          <w:i/>
          <w:color w:val="2E74B5"/>
          <w:szCs w:val="22"/>
        </w:rPr>
      </w:pPr>
    </w:p>
    <w:p w:rsidR="002F5C5E" w:rsidRPr="00563B8F" w:rsidRDefault="002F5C5E" w:rsidP="00C73E5F">
      <w:pPr>
        <w:keepNext/>
        <w:outlineLvl w:val="0"/>
        <w:rPr>
          <w:b/>
          <w:szCs w:val="22"/>
        </w:rPr>
      </w:pPr>
      <w:r w:rsidRPr="00563B8F">
        <w:rPr>
          <w:b/>
          <w:szCs w:val="22"/>
        </w:rPr>
        <w:t>CORPORATE PRIORITIES</w:t>
      </w:r>
    </w:p>
    <w:p w:rsidR="00772B9C" w:rsidRDefault="00772B9C" w:rsidP="00772B9C">
      <w:pPr>
        <w:keepNext/>
        <w:outlineLvl w:val="0"/>
        <w:rPr>
          <w:b/>
          <w:szCs w:val="22"/>
        </w:rPr>
      </w:pPr>
    </w:p>
    <w:p w:rsidR="00772B9C" w:rsidRPr="00772B9C" w:rsidRDefault="00C73E5F" w:rsidP="00C73E5F">
      <w:pPr>
        <w:keepNext/>
        <w:outlineLvl w:val="0"/>
        <w:rPr>
          <w:i/>
          <w:color w:val="2E74B5"/>
          <w:szCs w:val="22"/>
        </w:rPr>
      </w:pPr>
      <w:r>
        <w:rPr>
          <w:szCs w:val="22"/>
        </w:rPr>
        <w:t xml:space="preserve">4. </w:t>
      </w:r>
      <w:r w:rsidR="00772B9C" w:rsidRPr="009C1143">
        <w:rPr>
          <w:szCs w:val="22"/>
        </w:rPr>
        <w:t>The report relates to the following corporate priorities</w:t>
      </w:r>
      <w:r w:rsidR="00772B9C">
        <w:rPr>
          <w:szCs w:val="22"/>
        </w:rPr>
        <w:t>:</w:t>
      </w:r>
      <w:r w:rsidR="00772B9C"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E081A" w:rsidP="000E4458">
            <w:pPr>
              <w:rPr>
                <w:szCs w:val="22"/>
                <w:highlight w:val="yellow"/>
              </w:rPr>
            </w:pPr>
            <w:r>
              <w:rPr>
                <w:rFonts w:ascii="MS Gothic" w:eastAsia="MS Gothic" w:hAnsi="MS Gothic" w:hint="eastAsia"/>
                <w:szCs w:val="22"/>
              </w:rPr>
              <w:t>✔</w:t>
            </w: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59108D" w:rsidP="000E4458">
            <w:pPr>
              <w:rPr>
                <w:szCs w:val="22"/>
              </w:rPr>
            </w:pPr>
            <w:r>
              <w:rPr>
                <w:rFonts w:ascii="MS Gothic" w:eastAsia="MS Gothic" w:hAnsi="MS Gothic" w:hint="eastAsia"/>
                <w:szCs w:val="22"/>
              </w:rPr>
              <w:t>✔</w:t>
            </w: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2F5C5E">
      <w:pPr>
        <w:rPr>
          <w:szCs w:val="22"/>
        </w:rPr>
      </w:pPr>
    </w:p>
    <w:p w:rsidR="00FA09FB" w:rsidRDefault="00FA09FB" w:rsidP="002F5C5E">
      <w:pPr>
        <w:rPr>
          <w:szCs w:val="22"/>
        </w:rPr>
      </w:pPr>
    </w:p>
    <w:p w:rsidR="00FA09FB" w:rsidRDefault="00FA09FB" w:rsidP="002F5C5E">
      <w:pPr>
        <w:rPr>
          <w:szCs w:val="22"/>
        </w:rPr>
      </w:pPr>
    </w:p>
    <w:p w:rsidR="00FA09FB" w:rsidRDefault="00FA09FB" w:rsidP="002F5C5E">
      <w:pPr>
        <w:rPr>
          <w:szCs w:val="22"/>
        </w:rPr>
      </w:pPr>
    </w:p>
    <w:p w:rsidR="00C73E5F" w:rsidRDefault="00C73E5F" w:rsidP="002F5C5E">
      <w:pPr>
        <w:rPr>
          <w:szCs w:val="22"/>
        </w:rPr>
      </w:pPr>
    </w:p>
    <w:p w:rsidR="002F5C5E" w:rsidRPr="009C1143" w:rsidRDefault="002F5C5E" w:rsidP="002F5C5E">
      <w:pPr>
        <w:rPr>
          <w:b/>
          <w:szCs w:val="22"/>
        </w:rPr>
      </w:pPr>
      <w:r w:rsidRPr="009C1143">
        <w:rPr>
          <w:b/>
          <w:szCs w:val="22"/>
        </w:rPr>
        <w:lastRenderedPageBreak/>
        <w:t>BACKGROUND TO THE REPORT</w:t>
      </w:r>
    </w:p>
    <w:p w:rsidR="00525728" w:rsidRPr="00563B8F" w:rsidRDefault="00525728" w:rsidP="000B5251">
      <w:pPr>
        <w:rPr>
          <w:color w:val="000000" w:themeColor="text1"/>
          <w:szCs w:val="22"/>
        </w:rPr>
      </w:pPr>
    </w:p>
    <w:p w:rsidR="009F58B8" w:rsidRDefault="00C73E5F" w:rsidP="00991307">
      <w:pPr>
        <w:ind w:left="720" w:hanging="720"/>
        <w:rPr>
          <w:color w:val="000000" w:themeColor="text1"/>
          <w:szCs w:val="22"/>
        </w:rPr>
      </w:pPr>
      <w:r>
        <w:rPr>
          <w:color w:val="000000" w:themeColor="text1"/>
          <w:szCs w:val="22"/>
        </w:rPr>
        <w:t>5.</w:t>
      </w:r>
      <w:r w:rsidR="009F58B8">
        <w:rPr>
          <w:color w:val="000000" w:themeColor="text1"/>
          <w:szCs w:val="22"/>
        </w:rPr>
        <w:tab/>
        <w:t>The planning application was received</w:t>
      </w:r>
      <w:r w:rsidR="00EB084A">
        <w:rPr>
          <w:color w:val="000000" w:themeColor="text1"/>
          <w:szCs w:val="22"/>
        </w:rPr>
        <w:t xml:space="preserve"> by LCC</w:t>
      </w:r>
      <w:r w:rsidR="009F58B8">
        <w:rPr>
          <w:color w:val="000000" w:themeColor="text1"/>
          <w:szCs w:val="22"/>
        </w:rPr>
        <w:t xml:space="preserve"> in June 2019 with all documentation available to view on the County Council’s website </w:t>
      </w:r>
      <w:hyperlink r:id="rId9" w:history="1">
        <w:r w:rsidR="009F58B8" w:rsidRPr="00463B34">
          <w:rPr>
            <w:rStyle w:val="Hyperlink"/>
            <w:szCs w:val="22"/>
          </w:rPr>
          <w:t>http://planningregister.lancashire.gov.uk</w:t>
        </w:r>
      </w:hyperlink>
      <w:r w:rsidR="009F58B8">
        <w:rPr>
          <w:color w:val="000000" w:themeColor="text1"/>
          <w:szCs w:val="22"/>
        </w:rPr>
        <w:t xml:space="preserve"> (using the LCC ref. LCC/2019/0029).</w:t>
      </w:r>
    </w:p>
    <w:p w:rsidR="009F58B8" w:rsidRDefault="009F58B8" w:rsidP="00991307">
      <w:pPr>
        <w:ind w:left="720" w:hanging="720"/>
        <w:rPr>
          <w:color w:val="000000" w:themeColor="text1"/>
          <w:szCs w:val="22"/>
        </w:rPr>
      </w:pPr>
    </w:p>
    <w:p w:rsidR="007E081A" w:rsidRPr="00F3110B" w:rsidRDefault="00C73E5F" w:rsidP="00991307">
      <w:pPr>
        <w:ind w:left="720" w:hanging="720"/>
        <w:rPr>
          <w:rFonts w:cs="Arial"/>
        </w:rPr>
      </w:pPr>
      <w:r>
        <w:rPr>
          <w:color w:val="000000" w:themeColor="text1"/>
          <w:szCs w:val="22"/>
        </w:rPr>
        <w:t>6.</w:t>
      </w:r>
      <w:r w:rsidR="009F58B8">
        <w:rPr>
          <w:color w:val="000000" w:themeColor="text1"/>
          <w:szCs w:val="22"/>
        </w:rPr>
        <w:tab/>
        <w:t xml:space="preserve">The Case Officer dealing with the planning application has confirmed that the earliest County Planning Committee that the application can be </w:t>
      </w:r>
      <w:r w:rsidR="0073722E">
        <w:rPr>
          <w:color w:val="000000" w:themeColor="text1"/>
          <w:szCs w:val="22"/>
        </w:rPr>
        <w:t xml:space="preserve">taken for determination is the </w:t>
      </w:r>
      <w:bookmarkStart w:id="0" w:name="_GoBack"/>
      <w:bookmarkEnd w:id="0"/>
      <w:r w:rsidR="009F58B8">
        <w:rPr>
          <w:color w:val="000000" w:themeColor="text1"/>
          <w:szCs w:val="22"/>
        </w:rPr>
        <w:t>meeting scheduled for the 16</w:t>
      </w:r>
      <w:r w:rsidR="009F58B8" w:rsidRPr="009F58B8">
        <w:rPr>
          <w:color w:val="000000" w:themeColor="text1"/>
          <w:szCs w:val="22"/>
          <w:vertAlign w:val="superscript"/>
        </w:rPr>
        <w:t>th</w:t>
      </w:r>
      <w:r w:rsidR="009F58B8">
        <w:rPr>
          <w:color w:val="000000" w:themeColor="text1"/>
          <w:szCs w:val="22"/>
        </w:rPr>
        <w:t xml:space="preserve"> October 2019.</w:t>
      </w:r>
      <w:r w:rsidR="00563B8F" w:rsidRPr="00563B8F">
        <w:rPr>
          <w:color w:val="000000" w:themeColor="text1"/>
          <w:szCs w:val="22"/>
        </w:rPr>
        <w:tab/>
      </w:r>
    </w:p>
    <w:p w:rsidR="007E081A" w:rsidRDefault="007E081A" w:rsidP="000B5251">
      <w:pPr>
        <w:rPr>
          <w:color w:val="000000" w:themeColor="text1"/>
          <w:szCs w:val="22"/>
        </w:rPr>
      </w:pPr>
    </w:p>
    <w:p w:rsidR="00F3110B" w:rsidRPr="00563B8F" w:rsidRDefault="00F3110B" w:rsidP="000B5251">
      <w:pPr>
        <w:rPr>
          <w:color w:val="000000" w:themeColor="text1"/>
          <w:szCs w:val="22"/>
        </w:rPr>
      </w:pPr>
    </w:p>
    <w:p w:rsidR="002F5C5E" w:rsidRDefault="001938D6" w:rsidP="002F5C5E">
      <w:pPr>
        <w:rPr>
          <w:b/>
          <w:szCs w:val="22"/>
        </w:rPr>
      </w:pPr>
      <w:r>
        <w:rPr>
          <w:b/>
          <w:szCs w:val="22"/>
        </w:rPr>
        <w:t xml:space="preserve">PROPOSALS </w:t>
      </w:r>
    </w:p>
    <w:p w:rsidR="001938D6" w:rsidRDefault="001938D6" w:rsidP="002F5C5E">
      <w:pPr>
        <w:rPr>
          <w:b/>
          <w:szCs w:val="22"/>
        </w:rPr>
      </w:pPr>
    </w:p>
    <w:p w:rsidR="00991307" w:rsidRDefault="00C73E5F" w:rsidP="00991307">
      <w:pPr>
        <w:ind w:left="720" w:hanging="720"/>
        <w:rPr>
          <w:color w:val="000000" w:themeColor="text1"/>
        </w:rPr>
      </w:pPr>
      <w:r>
        <w:rPr>
          <w:color w:val="000000" w:themeColor="text1"/>
          <w:szCs w:val="22"/>
        </w:rPr>
        <w:t>7.</w:t>
      </w:r>
      <w:r w:rsidR="00991307">
        <w:rPr>
          <w:color w:val="000000" w:themeColor="text1"/>
          <w:szCs w:val="22"/>
        </w:rPr>
        <w:tab/>
        <w:t xml:space="preserve">The planning application relates to a 9.27 hectare site on the southern periphery of the Red Scar Industrial </w:t>
      </w:r>
      <w:r w:rsidR="00991307">
        <w:rPr>
          <w:color w:val="000000" w:themeColor="text1"/>
        </w:rPr>
        <w:t xml:space="preserve">Estate, Ribbleton, Preston (see Appendix 1).  </w:t>
      </w:r>
    </w:p>
    <w:p w:rsidR="00991307" w:rsidRDefault="00991307" w:rsidP="00991307">
      <w:pPr>
        <w:ind w:left="720" w:hanging="720"/>
        <w:rPr>
          <w:color w:val="000000" w:themeColor="text1"/>
        </w:rPr>
      </w:pPr>
    </w:p>
    <w:p w:rsidR="00991307" w:rsidRPr="00A46A09" w:rsidRDefault="00C73E5F" w:rsidP="00991307">
      <w:pPr>
        <w:ind w:left="720" w:hanging="720"/>
        <w:rPr>
          <w:rFonts w:cs="Arial"/>
          <w:color w:val="000000" w:themeColor="text1"/>
        </w:rPr>
      </w:pPr>
      <w:r>
        <w:rPr>
          <w:color w:val="000000" w:themeColor="text1"/>
        </w:rPr>
        <w:t>8.</w:t>
      </w:r>
      <w:r w:rsidR="00991307">
        <w:rPr>
          <w:color w:val="000000" w:themeColor="text1"/>
        </w:rPr>
        <w:tab/>
        <w:t xml:space="preserve">The eastern section of the site is within 200m of the River Ribble, which forms the Borough boundary of South Ribble.  A distance of 1300m is present from the site to the nearest residential property in South Ribble (an isolated farm called Lower Hall Farm off Potter Lane, Samlesbury).  A distance of 1700m would be present to a cluster of residential properties to the south-east of the site on Potter Lane, Samlesbury with the Brockholes </w:t>
      </w:r>
      <w:r w:rsidR="00991307" w:rsidRPr="00A46A09">
        <w:rPr>
          <w:rFonts w:cs="Arial"/>
          <w:color w:val="000000" w:themeColor="text1"/>
        </w:rPr>
        <w:t>Nature Reserve intervening.</w:t>
      </w:r>
    </w:p>
    <w:p w:rsidR="00C12B1B" w:rsidRPr="00A46A09" w:rsidRDefault="00C12B1B" w:rsidP="00991307">
      <w:pPr>
        <w:ind w:left="720" w:hanging="720"/>
        <w:rPr>
          <w:rFonts w:cs="Arial"/>
          <w:color w:val="000000" w:themeColor="text1"/>
        </w:rPr>
      </w:pPr>
    </w:p>
    <w:p w:rsidR="00C12B1B" w:rsidRPr="00A46A09" w:rsidRDefault="00C73E5F" w:rsidP="00991307">
      <w:pPr>
        <w:ind w:left="720" w:hanging="720"/>
        <w:rPr>
          <w:rFonts w:cs="Arial"/>
          <w:color w:val="000000" w:themeColor="text1"/>
        </w:rPr>
      </w:pPr>
      <w:r>
        <w:rPr>
          <w:rFonts w:cs="Arial"/>
          <w:color w:val="000000" w:themeColor="text1"/>
        </w:rPr>
        <w:t>9.</w:t>
      </w:r>
      <w:r w:rsidR="00C12B1B" w:rsidRPr="00A46A09">
        <w:rPr>
          <w:rFonts w:cs="Arial"/>
          <w:color w:val="000000" w:themeColor="text1"/>
        </w:rPr>
        <w:tab/>
        <w:t>The proposal is for an Energy Recovery Facility (ERF) which would burn pre-treated, non-recyclable waste, in order to generate energy in the form of electricity and also potentially heat.  It is envisaged that the ERF could generate up to 47MWe of electricity, which equates to the amount of electricity consumed by 108,000 homes in a year.</w:t>
      </w:r>
    </w:p>
    <w:p w:rsidR="00C12B1B" w:rsidRPr="00A46A09" w:rsidRDefault="00C12B1B" w:rsidP="00991307">
      <w:pPr>
        <w:ind w:left="720" w:hanging="720"/>
        <w:rPr>
          <w:rFonts w:cs="Arial"/>
          <w:color w:val="000000" w:themeColor="text1"/>
        </w:rPr>
      </w:pPr>
    </w:p>
    <w:p w:rsidR="00C12B1B" w:rsidRPr="00A46A09" w:rsidRDefault="00C73E5F" w:rsidP="00991307">
      <w:pPr>
        <w:ind w:left="720" w:hanging="720"/>
        <w:rPr>
          <w:rFonts w:cs="Arial"/>
          <w:color w:val="000000" w:themeColor="text1"/>
        </w:rPr>
      </w:pPr>
      <w:r>
        <w:rPr>
          <w:rFonts w:cs="Arial"/>
          <w:color w:val="000000" w:themeColor="text1"/>
        </w:rPr>
        <w:t>10.</w:t>
      </w:r>
      <w:r w:rsidR="00C12B1B" w:rsidRPr="00A46A09">
        <w:rPr>
          <w:rFonts w:cs="Arial"/>
          <w:color w:val="000000" w:themeColor="text1"/>
        </w:rPr>
        <w:tab/>
      </w:r>
      <w:r w:rsidR="00A46A09" w:rsidRPr="00A46A09">
        <w:rPr>
          <w:rFonts w:cs="Arial"/>
          <w:color w:val="000000" w:themeColor="text1"/>
        </w:rPr>
        <w:t>Two considerations for South Ribble Borough Council, as a neighbouring authority with the site in relatively close proximity, are:</w:t>
      </w:r>
    </w:p>
    <w:p w:rsidR="00A46A09" w:rsidRPr="00A46A09" w:rsidRDefault="00A46A09" w:rsidP="00991307">
      <w:pPr>
        <w:ind w:left="720" w:hanging="720"/>
        <w:rPr>
          <w:rFonts w:cs="Arial"/>
          <w:color w:val="000000" w:themeColor="text1"/>
        </w:rPr>
      </w:pPr>
    </w:p>
    <w:p w:rsidR="00A46A09" w:rsidRDefault="00A46A09" w:rsidP="00A46A09">
      <w:pPr>
        <w:pStyle w:val="ListParagraph"/>
        <w:numPr>
          <w:ilvl w:val="0"/>
          <w:numId w:val="18"/>
        </w:numPr>
        <w:rPr>
          <w:rFonts w:ascii="Arial" w:hAnsi="Arial" w:cs="Arial"/>
          <w:color w:val="000000" w:themeColor="text1"/>
        </w:rPr>
      </w:pPr>
      <w:r w:rsidRPr="00A46A09">
        <w:rPr>
          <w:rFonts w:ascii="Arial" w:hAnsi="Arial" w:cs="Arial"/>
          <w:color w:val="000000" w:themeColor="text1"/>
        </w:rPr>
        <w:t xml:space="preserve">What </w:t>
      </w:r>
      <w:r>
        <w:rPr>
          <w:rFonts w:ascii="Arial" w:hAnsi="Arial" w:cs="Arial"/>
          <w:color w:val="000000" w:themeColor="text1"/>
        </w:rPr>
        <w:t>are the air quality / odour implications of the burning of the non-recyclable material; and</w:t>
      </w:r>
    </w:p>
    <w:p w:rsidR="00A46A09" w:rsidRDefault="00A46A09" w:rsidP="00A46A09">
      <w:pPr>
        <w:pStyle w:val="ListParagraph"/>
        <w:numPr>
          <w:ilvl w:val="0"/>
          <w:numId w:val="18"/>
        </w:numPr>
        <w:rPr>
          <w:rFonts w:ascii="Arial" w:hAnsi="Arial" w:cs="Arial"/>
          <w:color w:val="000000" w:themeColor="text1"/>
        </w:rPr>
      </w:pPr>
      <w:r>
        <w:rPr>
          <w:rFonts w:ascii="Arial" w:hAnsi="Arial" w:cs="Arial"/>
          <w:color w:val="000000" w:themeColor="text1"/>
        </w:rPr>
        <w:t>What is the visual impact on the facility</w:t>
      </w:r>
    </w:p>
    <w:p w:rsidR="00A46A09" w:rsidRDefault="00A46A09" w:rsidP="00A46A09">
      <w:pPr>
        <w:rPr>
          <w:rFonts w:cs="Arial"/>
          <w:color w:val="000000" w:themeColor="text1"/>
        </w:rPr>
      </w:pPr>
    </w:p>
    <w:p w:rsidR="00B75EFD" w:rsidRDefault="00C73E5F" w:rsidP="00B75EFD">
      <w:pPr>
        <w:ind w:left="720" w:hanging="720"/>
        <w:rPr>
          <w:rFonts w:cs="Arial"/>
          <w:color w:val="000000" w:themeColor="text1"/>
        </w:rPr>
      </w:pPr>
      <w:r>
        <w:rPr>
          <w:rFonts w:cs="Arial"/>
          <w:color w:val="000000" w:themeColor="text1"/>
        </w:rPr>
        <w:t>11.</w:t>
      </w:r>
      <w:r w:rsidR="00A46A09">
        <w:rPr>
          <w:rFonts w:cs="Arial"/>
          <w:color w:val="000000" w:themeColor="text1"/>
        </w:rPr>
        <w:tab/>
        <w:t>In regards to the odour implications SRBC Environmental Health have advised that the facility would not cause any direct impact on South Ribble</w:t>
      </w:r>
      <w:r w:rsidR="00B75EFD">
        <w:rPr>
          <w:rFonts w:cs="Arial"/>
          <w:color w:val="000000" w:themeColor="text1"/>
        </w:rPr>
        <w:t xml:space="preserve"> which is reaffirmed by a submitted Odour Impact Assessment which concludes a ‘negligible effect’ on assessed receptors between 20m and 800m of the site. </w:t>
      </w:r>
    </w:p>
    <w:p w:rsidR="00B75EFD" w:rsidRDefault="00B75EFD" w:rsidP="00B75EFD">
      <w:pPr>
        <w:ind w:left="720" w:hanging="720"/>
        <w:rPr>
          <w:rFonts w:cs="Arial"/>
          <w:color w:val="000000" w:themeColor="text1"/>
        </w:rPr>
      </w:pPr>
    </w:p>
    <w:p w:rsidR="00A46A09" w:rsidRDefault="00C73E5F" w:rsidP="00B75EFD">
      <w:pPr>
        <w:ind w:left="720" w:hanging="720"/>
        <w:rPr>
          <w:rFonts w:cs="Arial"/>
          <w:color w:val="000000" w:themeColor="text1"/>
        </w:rPr>
      </w:pPr>
      <w:r>
        <w:rPr>
          <w:rFonts w:cs="Arial"/>
          <w:color w:val="000000" w:themeColor="text1"/>
        </w:rPr>
        <w:t>12.</w:t>
      </w:r>
      <w:r w:rsidR="00B75EFD">
        <w:rPr>
          <w:rFonts w:cs="Arial"/>
          <w:color w:val="000000" w:themeColor="text1"/>
        </w:rPr>
        <w:tab/>
        <w:t>In regards to air quality implications, SRBC Environmental Health advise that</w:t>
      </w:r>
      <w:r w:rsidR="00A46A09">
        <w:rPr>
          <w:rFonts w:cs="Arial"/>
          <w:color w:val="000000" w:themeColor="text1"/>
        </w:rPr>
        <w:t xml:space="preserve"> whilst additional pollution into the atmosphere would occur</w:t>
      </w:r>
      <w:r w:rsidR="00B75EFD">
        <w:rPr>
          <w:rFonts w:cs="Arial"/>
          <w:color w:val="000000" w:themeColor="text1"/>
        </w:rPr>
        <w:t xml:space="preserve"> this would be regulated by the</w:t>
      </w:r>
      <w:r w:rsidR="00A46A09">
        <w:rPr>
          <w:rFonts w:cs="Arial"/>
          <w:color w:val="000000" w:themeColor="text1"/>
        </w:rPr>
        <w:t xml:space="preserve"> Environment Agency</w:t>
      </w:r>
      <w:r w:rsidR="00B75EFD">
        <w:rPr>
          <w:rFonts w:cs="Arial"/>
          <w:color w:val="000000" w:themeColor="text1"/>
        </w:rPr>
        <w:t xml:space="preserve"> through the issuing of</w:t>
      </w:r>
      <w:r w:rsidR="00A46A09">
        <w:rPr>
          <w:rFonts w:cs="Arial"/>
          <w:color w:val="000000" w:themeColor="text1"/>
        </w:rPr>
        <w:t xml:space="preserve"> permit</w:t>
      </w:r>
      <w:r w:rsidR="00B75EFD">
        <w:rPr>
          <w:rFonts w:cs="Arial"/>
          <w:color w:val="000000" w:themeColor="text1"/>
        </w:rPr>
        <w:t>s</w:t>
      </w:r>
      <w:r w:rsidR="00A46A09">
        <w:rPr>
          <w:rFonts w:cs="Arial"/>
          <w:color w:val="000000" w:themeColor="text1"/>
        </w:rPr>
        <w:t>.</w:t>
      </w:r>
      <w:r w:rsidR="00B75EFD">
        <w:rPr>
          <w:rFonts w:cs="Arial"/>
          <w:color w:val="000000" w:themeColor="text1"/>
        </w:rPr>
        <w:t xml:space="preserve">  The section of the submitted Environmental Statement covering Air Quality concludes that </w:t>
      </w:r>
      <w:r w:rsidR="00977E61">
        <w:rPr>
          <w:rFonts w:cs="Arial"/>
          <w:color w:val="000000" w:themeColor="text1"/>
        </w:rPr>
        <w:t xml:space="preserve">the proposal </w:t>
      </w:r>
      <w:r w:rsidR="00977E61">
        <w:rPr>
          <w:rFonts w:cs="Arial"/>
          <w:i/>
          <w:color w:val="000000" w:themeColor="text1"/>
        </w:rPr>
        <w:t>“is not predicted to give rise to significant environmental effects on air quality, human health, ecological receptors and odour, and is predicted to have a significant beneficial effect on climate change”</w:t>
      </w:r>
      <w:r w:rsidR="00977E61">
        <w:rPr>
          <w:rFonts w:cs="Arial"/>
          <w:color w:val="000000" w:themeColor="text1"/>
        </w:rPr>
        <w:t>.</w:t>
      </w:r>
    </w:p>
    <w:p w:rsidR="00977E61" w:rsidRDefault="00977E61" w:rsidP="00B75EFD">
      <w:pPr>
        <w:ind w:left="720" w:hanging="720"/>
        <w:rPr>
          <w:rFonts w:cs="Arial"/>
          <w:color w:val="000000" w:themeColor="text1"/>
        </w:rPr>
      </w:pPr>
    </w:p>
    <w:p w:rsidR="00977E61" w:rsidRDefault="00C73E5F" w:rsidP="00977E61">
      <w:pPr>
        <w:ind w:left="720" w:hanging="720"/>
        <w:rPr>
          <w:rFonts w:cs="Arial"/>
          <w:color w:val="000000" w:themeColor="text1"/>
        </w:rPr>
      </w:pPr>
      <w:r>
        <w:rPr>
          <w:rFonts w:cs="Arial"/>
          <w:color w:val="000000" w:themeColor="text1"/>
        </w:rPr>
        <w:t>13.</w:t>
      </w:r>
      <w:r w:rsidR="00977E61">
        <w:rPr>
          <w:rFonts w:cs="Arial"/>
          <w:color w:val="000000" w:themeColor="text1"/>
        </w:rPr>
        <w:tab/>
        <w:t>Considering the visual impact of the proposal, the majority of the built development would be less than 40m in height and would not be visible from any vantage point within South Ribble.  The exception to this however would be 2 flue stacks, each with a diameter of 3m, that wo</w:t>
      </w:r>
      <w:r w:rsidR="000E06AB">
        <w:rPr>
          <w:rFonts w:cs="Arial"/>
          <w:color w:val="000000" w:themeColor="text1"/>
        </w:rPr>
        <w:t xml:space="preserve">uld extend up to </w:t>
      </w:r>
      <w:r w:rsidR="007D6143">
        <w:rPr>
          <w:rFonts w:cs="Arial"/>
          <w:color w:val="000000" w:themeColor="text1"/>
        </w:rPr>
        <w:t>85m in height (see Appendix 2) which is approximately half the height of Blackpool Tower.</w:t>
      </w:r>
    </w:p>
    <w:p w:rsidR="007D6143" w:rsidRDefault="007D6143" w:rsidP="00977E61">
      <w:pPr>
        <w:ind w:left="720" w:hanging="720"/>
        <w:rPr>
          <w:rFonts w:cs="Arial"/>
          <w:color w:val="000000" w:themeColor="text1"/>
        </w:rPr>
      </w:pPr>
    </w:p>
    <w:p w:rsidR="007D6143" w:rsidRPr="00977E61" w:rsidRDefault="00C73E5F" w:rsidP="00977E61">
      <w:pPr>
        <w:ind w:left="720" w:hanging="720"/>
        <w:rPr>
          <w:rFonts w:cs="Arial"/>
          <w:color w:val="000000" w:themeColor="text1"/>
        </w:rPr>
      </w:pPr>
      <w:r>
        <w:rPr>
          <w:rFonts w:cs="Arial"/>
          <w:color w:val="000000" w:themeColor="text1"/>
        </w:rPr>
        <w:t>14.</w:t>
      </w:r>
      <w:r w:rsidR="007D6143">
        <w:rPr>
          <w:rFonts w:cs="Arial"/>
          <w:color w:val="000000" w:themeColor="text1"/>
        </w:rPr>
        <w:tab/>
        <w:t xml:space="preserve">Photomontages submitted by the applicant confirm that the stacks would be visible above intervening landscaping to the south and east (see Appendix 3). Whilst it is acknowledged </w:t>
      </w:r>
      <w:r w:rsidR="007D6143">
        <w:rPr>
          <w:rFonts w:cs="Arial"/>
          <w:color w:val="000000" w:themeColor="text1"/>
        </w:rPr>
        <w:lastRenderedPageBreak/>
        <w:t xml:space="preserve">that the proposal will alter current distant views from the Borough it is important to consider that the landscape is afforded no special protection (e.g. such as an Area of Outstanding Natural Beauty).  The </w:t>
      </w:r>
      <w:r w:rsidR="007D706E">
        <w:rPr>
          <w:rFonts w:cs="Arial"/>
          <w:color w:val="000000" w:themeColor="text1"/>
        </w:rPr>
        <w:t>environmental benefits of the scheme should also be afforded significant weight in coming to a decision as to whether or not to object to the application.</w:t>
      </w:r>
    </w:p>
    <w:p w:rsidR="002F5C5E" w:rsidRPr="00792A2B" w:rsidRDefault="002F5C5E" w:rsidP="002F5C5E">
      <w:pPr>
        <w:rPr>
          <w:b/>
          <w:szCs w:val="22"/>
        </w:rPr>
      </w:pPr>
    </w:p>
    <w:p w:rsidR="001938D6" w:rsidRPr="00792A2B" w:rsidRDefault="001938D6" w:rsidP="002F5C5E">
      <w:pPr>
        <w:rPr>
          <w:b/>
          <w:szCs w:val="22"/>
        </w:rPr>
      </w:pPr>
      <w:r w:rsidRPr="00792A2B">
        <w:rPr>
          <w:b/>
          <w:szCs w:val="22"/>
        </w:rPr>
        <w:t xml:space="preserve">CONSULTATION CARRIED OUT AND OUTCOME OF CONSULTATION </w:t>
      </w:r>
    </w:p>
    <w:p w:rsidR="001938D6" w:rsidRPr="00605E93" w:rsidRDefault="001938D6" w:rsidP="002F5C5E">
      <w:pPr>
        <w:rPr>
          <w:szCs w:val="22"/>
        </w:rPr>
      </w:pPr>
    </w:p>
    <w:p w:rsidR="001938D6" w:rsidRPr="00605E93" w:rsidRDefault="00C73E5F" w:rsidP="00605E93">
      <w:pPr>
        <w:ind w:left="426" w:hanging="426"/>
        <w:rPr>
          <w:rFonts w:cs="Arial"/>
          <w:color w:val="000000" w:themeColor="text1"/>
        </w:rPr>
      </w:pPr>
      <w:r>
        <w:rPr>
          <w:szCs w:val="22"/>
        </w:rPr>
        <w:t xml:space="preserve">15. </w:t>
      </w:r>
      <w:r>
        <w:rPr>
          <w:szCs w:val="22"/>
        </w:rPr>
        <w:tab/>
      </w:r>
      <w:r w:rsidR="00A71785">
        <w:rPr>
          <w:rFonts w:cs="Arial"/>
          <w:color w:val="000000" w:themeColor="text1"/>
        </w:rPr>
        <w:t xml:space="preserve">None – </w:t>
      </w:r>
      <w:r w:rsidR="007D706E">
        <w:rPr>
          <w:rFonts w:cs="Arial"/>
          <w:color w:val="000000" w:themeColor="text1"/>
        </w:rPr>
        <w:t>all necessary consultation has been undertaken by LCC as the relevant planning authority.</w:t>
      </w:r>
    </w:p>
    <w:p w:rsidR="00F43895" w:rsidRPr="00F3110B" w:rsidRDefault="00F43895" w:rsidP="002F5C5E">
      <w:pPr>
        <w:rPr>
          <w:rFonts w:cs="Arial"/>
          <w:i/>
        </w:rPr>
      </w:pPr>
    </w:p>
    <w:p w:rsidR="00F43895" w:rsidRPr="00F3110B" w:rsidRDefault="00F43895" w:rsidP="00F43895">
      <w:pPr>
        <w:rPr>
          <w:b/>
          <w:szCs w:val="22"/>
        </w:rPr>
      </w:pPr>
      <w:r w:rsidRPr="00F3110B">
        <w:rPr>
          <w:rFonts w:cs="Arial"/>
          <w:b/>
          <w:caps/>
        </w:rPr>
        <w:t>Financial implications</w:t>
      </w:r>
    </w:p>
    <w:p w:rsidR="00A71785" w:rsidRPr="00F3110B" w:rsidRDefault="00A71785" w:rsidP="00A71785">
      <w:pPr>
        <w:rPr>
          <w:rFonts w:cs="Arial"/>
          <w:b/>
          <w:caps/>
        </w:rPr>
      </w:pPr>
    </w:p>
    <w:p w:rsidR="00A71785" w:rsidRPr="00F3110B" w:rsidRDefault="00C73E5F" w:rsidP="00A71785">
      <w:pPr>
        <w:rPr>
          <w:rFonts w:cs="Arial"/>
        </w:rPr>
      </w:pPr>
      <w:r>
        <w:rPr>
          <w:rFonts w:cs="Arial"/>
          <w:caps/>
        </w:rPr>
        <w:t>16.</w:t>
      </w:r>
      <w:r w:rsidR="00F3110B" w:rsidRPr="00F3110B">
        <w:rPr>
          <w:rFonts w:cs="Arial"/>
          <w:caps/>
        </w:rPr>
        <w:t xml:space="preserve">  </w:t>
      </w:r>
      <w:r w:rsidR="007D706E">
        <w:rPr>
          <w:rFonts w:cs="Arial"/>
        </w:rPr>
        <w:t>None</w:t>
      </w:r>
    </w:p>
    <w:p w:rsidR="00F43895" w:rsidRPr="00792A2B" w:rsidRDefault="00F43895" w:rsidP="00F43895">
      <w:pPr>
        <w:rPr>
          <w:rFonts w:cs="Arial"/>
          <w:b/>
          <w:color w:val="2E74B5"/>
        </w:rPr>
      </w:pPr>
    </w:p>
    <w:p w:rsidR="00F43895" w:rsidRPr="00792A2B" w:rsidRDefault="00F43895" w:rsidP="00F43895">
      <w:pPr>
        <w:rPr>
          <w:rFonts w:cs="Arial"/>
          <w:b/>
          <w:caps/>
        </w:rPr>
      </w:pPr>
      <w:r w:rsidRPr="00792A2B">
        <w:rPr>
          <w:rFonts w:cs="Arial"/>
          <w:b/>
          <w:caps/>
        </w:rPr>
        <w:t>LEGAL IMPLICATIONS</w:t>
      </w:r>
    </w:p>
    <w:p w:rsidR="00F43895" w:rsidRPr="00792A2B" w:rsidRDefault="00F43895" w:rsidP="00F43895">
      <w:pPr>
        <w:rPr>
          <w:rFonts w:cs="Arial"/>
          <w:b/>
          <w:caps/>
        </w:rPr>
      </w:pPr>
    </w:p>
    <w:p w:rsidR="002F3C4B" w:rsidRPr="002F3C4B" w:rsidRDefault="00C73E5F" w:rsidP="002F3C4B">
      <w:pPr>
        <w:rPr>
          <w:rFonts w:cs="Arial"/>
          <w:caps/>
          <w:color w:val="2E74B5"/>
        </w:rPr>
      </w:pPr>
      <w:r>
        <w:rPr>
          <w:rFonts w:cs="Arial"/>
          <w:caps/>
        </w:rPr>
        <w:t>17.</w:t>
      </w:r>
      <w:r w:rsidR="00AA2DF2" w:rsidRPr="002F3C4B">
        <w:rPr>
          <w:rFonts w:cs="Arial"/>
        </w:rPr>
        <w:t xml:space="preserve">  </w:t>
      </w:r>
      <w:r w:rsidR="007D706E">
        <w:rPr>
          <w:rFonts w:cs="Arial"/>
        </w:rPr>
        <w:t>None</w:t>
      </w:r>
    </w:p>
    <w:p w:rsidR="00F43895" w:rsidRPr="002F3C4B" w:rsidRDefault="00F43895" w:rsidP="00F43895">
      <w:pPr>
        <w:rPr>
          <w:rFonts w:cs="Arial"/>
          <w:caps/>
          <w:color w:val="2E74B5"/>
        </w:rPr>
      </w:pPr>
      <w:r w:rsidRPr="00792A2B">
        <w:rPr>
          <w:rFonts w:cs="Arial"/>
          <w:b/>
          <w:caps/>
        </w:rPr>
        <w:t xml:space="preserve">  </w:t>
      </w:r>
    </w:p>
    <w:p w:rsidR="00F43895" w:rsidRPr="00792A2B" w:rsidRDefault="00F43895" w:rsidP="00F43895">
      <w:pPr>
        <w:rPr>
          <w:rFonts w:cs="Arial"/>
          <w:b/>
        </w:rPr>
      </w:pPr>
      <w:r w:rsidRPr="00792A2B">
        <w:rPr>
          <w:rFonts w:cs="Arial"/>
          <w:b/>
        </w:rPr>
        <w:t>COMMENTS OF THE STATUTORY FINANCE OFFICER</w:t>
      </w:r>
    </w:p>
    <w:p w:rsidR="00BE2A3F" w:rsidRPr="00792A2B" w:rsidRDefault="00BE2A3F" w:rsidP="00F43895">
      <w:pPr>
        <w:rPr>
          <w:rFonts w:cs="Arial"/>
          <w:b/>
        </w:rPr>
      </w:pPr>
    </w:p>
    <w:p w:rsidR="00DD22E3" w:rsidRPr="00C73E5F" w:rsidRDefault="00C73E5F" w:rsidP="00C73E5F">
      <w:pPr>
        <w:rPr>
          <w:rFonts w:cs="Arial"/>
        </w:rPr>
      </w:pPr>
      <w:r>
        <w:rPr>
          <w:rFonts w:cs="Arial"/>
        </w:rPr>
        <w:t>18.</w:t>
      </w:r>
      <w:r w:rsidR="00BE2A3F" w:rsidRPr="00792A2B">
        <w:rPr>
          <w:rFonts w:cs="Arial"/>
        </w:rPr>
        <w:t xml:space="preserve">  </w:t>
      </w:r>
      <w:r w:rsidR="00827EC3">
        <w:rPr>
          <w:rFonts w:cs="Arial"/>
        </w:rPr>
        <w:t>There are no financial implications for South Ribble Boro</w:t>
      </w:r>
      <w:r>
        <w:rPr>
          <w:rFonts w:cs="Arial"/>
        </w:rPr>
        <w:t xml:space="preserve">ugh Council in relation to this </w:t>
      </w:r>
      <w:r w:rsidR="00827EC3">
        <w:rPr>
          <w:rFonts w:cs="Arial"/>
        </w:rPr>
        <w:t>consultation.</w:t>
      </w:r>
    </w:p>
    <w:p w:rsidR="00BE2A3F" w:rsidRPr="00792A2B" w:rsidRDefault="00BE2A3F" w:rsidP="00F9206A">
      <w:pPr>
        <w:ind w:left="567" w:hanging="567"/>
        <w:rPr>
          <w:rFonts w:cs="Arial"/>
        </w:rPr>
      </w:pPr>
    </w:p>
    <w:p w:rsidR="00F43895" w:rsidRPr="00792A2B" w:rsidRDefault="00F43895" w:rsidP="00F43895">
      <w:pPr>
        <w:rPr>
          <w:rFonts w:cs="Arial"/>
          <w:b/>
          <w:i/>
        </w:rPr>
      </w:pPr>
    </w:p>
    <w:p w:rsidR="00F43895" w:rsidRPr="00792A2B" w:rsidRDefault="00F43895" w:rsidP="00BE2A3F">
      <w:pPr>
        <w:rPr>
          <w:rFonts w:cs="Arial"/>
          <w:b/>
        </w:rPr>
      </w:pPr>
      <w:r w:rsidRPr="00792A2B">
        <w:rPr>
          <w:rFonts w:cs="Arial"/>
          <w:b/>
        </w:rPr>
        <w:t>COMMENTS OF THE MONITORING OFFICER</w:t>
      </w:r>
    </w:p>
    <w:p w:rsidR="00F43895" w:rsidRPr="00792A2B" w:rsidRDefault="00F43895" w:rsidP="00F43895">
      <w:pPr>
        <w:ind w:left="567"/>
        <w:rPr>
          <w:rFonts w:cs="Arial"/>
          <w:b/>
        </w:rPr>
      </w:pPr>
    </w:p>
    <w:p w:rsidR="002F5C5E" w:rsidRDefault="00C73E5F" w:rsidP="001F44D9">
      <w:pPr>
        <w:ind w:left="567" w:hanging="567"/>
        <w:rPr>
          <w:rFonts w:cs="Arial"/>
          <w:color w:val="000000" w:themeColor="text1"/>
        </w:rPr>
      </w:pPr>
      <w:r>
        <w:rPr>
          <w:rFonts w:cs="Arial"/>
          <w:color w:val="000000" w:themeColor="text1"/>
        </w:rPr>
        <w:t>19.</w:t>
      </w:r>
      <w:r w:rsidR="001F44D9">
        <w:rPr>
          <w:rFonts w:cs="Arial"/>
          <w:color w:val="000000" w:themeColor="text1"/>
        </w:rPr>
        <w:tab/>
      </w:r>
      <w:r w:rsidR="009F108C">
        <w:rPr>
          <w:rFonts w:cs="Arial"/>
          <w:color w:val="000000" w:themeColor="text1"/>
        </w:rPr>
        <w:t xml:space="preserve">This is a relatively unusual situation in that the council has the role here of a consultee, rather than being the decision making body. Clearly is a matter for the discretion of the Committee whether to object or not. Para 5.4 of the report highlights what the key considerations are from this council’s point of view. This includes the issue of course of air quality.  </w:t>
      </w:r>
    </w:p>
    <w:p w:rsidR="001F44D9" w:rsidRPr="001F44D9" w:rsidRDefault="001F44D9" w:rsidP="002F5C5E">
      <w:pPr>
        <w:rPr>
          <w:b/>
          <w:strike/>
          <w:color w:val="000000" w:themeColor="text1"/>
          <w:szCs w:val="22"/>
        </w:rPr>
      </w:pPr>
    </w:p>
    <w:p w:rsidR="000B5251" w:rsidRPr="00792A2B" w:rsidRDefault="000B5251" w:rsidP="000B5251">
      <w:pPr>
        <w:rPr>
          <w:b/>
          <w:szCs w:val="22"/>
        </w:rPr>
      </w:pP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3B246D" w:rsidRDefault="00A56681" w:rsidP="00041991">
            <w:pPr>
              <w:numPr>
                <w:ilvl w:val="0"/>
                <w:numId w:val="11"/>
              </w:numPr>
              <w:ind w:left="360"/>
              <w:rPr>
                <w:b/>
                <w:szCs w:val="22"/>
              </w:rPr>
            </w:pPr>
            <w:r w:rsidRPr="00792A2B">
              <w:rPr>
                <w:b/>
                <w:szCs w:val="22"/>
              </w:rPr>
              <w:t xml:space="preserve">Equality &amp; Diversity </w:t>
            </w:r>
          </w:p>
        </w:tc>
        <w:tc>
          <w:tcPr>
            <w:tcW w:w="6379" w:type="dxa"/>
            <w:shd w:val="clear" w:color="auto" w:fill="auto"/>
          </w:tcPr>
          <w:p w:rsidR="002F5C5E" w:rsidRPr="00792A2B" w:rsidRDefault="002F5C5E" w:rsidP="00AC4A99">
            <w:pPr>
              <w:rPr>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A56681" w:rsidRPr="00B96FEC" w:rsidRDefault="00A56681" w:rsidP="00AC4A99">
            <w:pPr>
              <w:rPr>
                <w:color w:val="000000" w:themeColor="text1"/>
                <w:szCs w:val="22"/>
              </w:rPr>
            </w:pPr>
          </w:p>
          <w:p w:rsidR="00F43895" w:rsidRPr="00B96FEC" w:rsidRDefault="00041991" w:rsidP="00AC4A99">
            <w:pPr>
              <w:rPr>
                <w:color w:val="000000" w:themeColor="text1"/>
                <w:szCs w:val="22"/>
              </w:rPr>
            </w:pPr>
            <w:r w:rsidRPr="00B96FEC">
              <w:rPr>
                <w:color w:val="000000" w:themeColor="text1"/>
                <w:szCs w:val="22"/>
              </w:rPr>
              <w:t>None</w:t>
            </w:r>
          </w:p>
          <w:p w:rsidR="00F43895" w:rsidRPr="00B96FEC" w:rsidRDefault="00F43895" w:rsidP="00AC4A99">
            <w:pPr>
              <w:rPr>
                <w:color w:val="000000" w:themeColor="text1"/>
                <w:szCs w:val="22"/>
              </w:rPr>
            </w:pPr>
          </w:p>
          <w:p w:rsidR="00F43895" w:rsidRPr="00F43895" w:rsidRDefault="00041991" w:rsidP="00AC4A99">
            <w:pPr>
              <w:rPr>
                <w:i/>
                <w:color w:val="2E74B5" w:themeColor="accent1" w:themeShade="BF"/>
                <w:szCs w:val="22"/>
              </w:rPr>
            </w:pPr>
            <w:r w:rsidRPr="00B96FEC">
              <w:rPr>
                <w:color w:val="000000" w:themeColor="text1"/>
                <w:szCs w:val="22"/>
              </w:rPr>
              <w:t>None</w:t>
            </w:r>
          </w:p>
        </w:tc>
      </w:tr>
    </w:tbl>
    <w:p w:rsidR="0090668D" w:rsidRDefault="0090668D" w:rsidP="002F5C5E">
      <w:pPr>
        <w:rPr>
          <w:b/>
          <w:szCs w:val="22"/>
        </w:rPr>
      </w:pPr>
    </w:p>
    <w:p w:rsidR="00C73E5F" w:rsidRDefault="000B5251" w:rsidP="002F5C5E">
      <w:pPr>
        <w:rPr>
          <w:b/>
          <w:szCs w:val="22"/>
        </w:rPr>
      </w:pPr>
      <w:r>
        <w:rPr>
          <w:b/>
          <w:szCs w:val="22"/>
        </w:rPr>
        <w:t xml:space="preserve">BACKGROUND DOCUMENTS </w:t>
      </w:r>
    </w:p>
    <w:p w:rsidR="00C73E5F" w:rsidRDefault="00C73E5F" w:rsidP="002F5C5E">
      <w:pPr>
        <w:rPr>
          <w:b/>
          <w:szCs w:val="22"/>
        </w:rPr>
      </w:pPr>
    </w:p>
    <w:p w:rsidR="000B5251" w:rsidRPr="009C1143" w:rsidRDefault="00C73E5F" w:rsidP="002F5C5E">
      <w:pPr>
        <w:rPr>
          <w:szCs w:val="22"/>
        </w:rPr>
      </w:pPr>
      <w:r w:rsidRPr="00C73E5F">
        <w:rPr>
          <w:szCs w:val="22"/>
        </w:rPr>
        <w:t>20.</w:t>
      </w:r>
      <w:r>
        <w:rPr>
          <w:b/>
          <w:szCs w:val="22"/>
        </w:rPr>
        <w:t xml:space="preserve"> </w:t>
      </w:r>
      <w:r w:rsidR="00AA2DF2">
        <w:rPr>
          <w:szCs w:val="22"/>
        </w:rPr>
        <w:t>There are no background papers to this report</w:t>
      </w:r>
    </w:p>
    <w:p w:rsidR="000B5251" w:rsidRDefault="000B5251" w:rsidP="000B5251">
      <w:pPr>
        <w:rPr>
          <w:i/>
          <w:color w:val="0070C0"/>
          <w:szCs w:val="22"/>
        </w:rPr>
      </w:pPr>
    </w:p>
    <w:p w:rsidR="000B5251" w:rsidRDefault="000B5251" w:rsidP="000B5251">
      <w:pPr>
        <w:rPr>
          <w:b/>
        </w:rPr>
      </w:pPr>
      <w:r w:rsidRPr="00792A2B">
        <w:rPr>
          <w:b/>
        </w:rPr>
        <w:t>APPENDICES (or There are no appendices to this report</w:t>
      </w:r>
      <w:r w:rsidR="00AA2DF2">
        <w:rPr>
          <w:b/>
        </w:rPr>
        <w:t>)</w:t>
      </w:r>
    </w:p>
    <w:p w:rsidR="00C73E5F" w:rsidRDefault="00C73E5F" w:rsidP="000B5251">
      <w:pPr>
        <w:rPr>
          <w:b/>
        </w:rPr>
      </w:pPr>
    </w:p>
    <w:p w:rsidR="000B5251" w:rsidRDefault="007D706E" w:rsidP="0090668D">
      <w:pPr>
        <w:rPr>
          <w:rFonts w:cs="Arial"/>
        </w:rPr>
      </w:pPr>
      <w:r>
        <w:rPr>
          <w:rFonts w:cs="Arial"/>
        </w:rPr>
        <w:t>Appendix 1 – Site Plan</w:t>
      </w:r>
    </w:p>
    <w:p w:rsidR="007D706E" w:rsidRDefault="007D706E" w:rsidP="0090668D">
      <w:pPr>
        <w:rPr>
          <w:rFonts w:cs="Arial"/>
        </w:rPr>
      </w:pPr>
      <w:r>
        <w:rPr>
          <w:rFonts w:cs="Arial"/>
        </w:rPr>
        <w:t>Appendix 2 – Elevational Plan (Proposed)</w:t>
      </w:r>
    </w:p>
    <w:p w:rsidR="007D706E" w:rsidRPr="00AA2DF2" w:rsidRDefault="007D706E" w:rsidP="0090668D">
      <w:pPr>
        <w:rPr>
          <w:rFonts w:cs="Arial"/>
        </w:rPr>
      </w:pPr>
      <w:r>
        <w:rPr>
          <w:rFonts w:cs="Arial"/>
        </w:rPr>
        <w:t>Appendix 3 - Photomontages</w:t>
      </w:r>
    </w:p>
    <w:p w:rsidR="001C5E49" w:rsidRDefault="001C5E49" w:rsidP="000B5251">
      <w:pPr>
        <w:tabs>
          <w:tab w:val="left" w:pos="2839"/>
        </w:tabs>
        <w:rPr>
          <w:b/>
          <w:szCs w:val="22"/>
        </w:rPr>
      </w:pPr>
    </w:p>
    <w:p w:rsidR="001C5E49" w:rsidRDefault="001C5E49" w:rsidP="001C5E49">
      <w:pPr>
        <w:tabs>
          <w:tab w:val="left" w:pos="2839"/>
        </w:tabs>
        <w:ind w:left="426" w:hanging="426"/>
        <w:rPr>
          <w:rFonts w:cs="Arial"/>
          <w:color w:val="0070C0"/>
        </w:rPr>
      </w:pPr>
    </w:p>
    <w:p w:rsidR="001C5E49" w:rsidRPr="0090668D" w:rsidRDefault="0090668D" w:rsidP="001C5E49">
      <w:pPr>
        <w:tabs>
          <w:tab w:val="left" w:pos="2839"/>
        </w:tabs>
        <w:rPr>
          <w:rFonts w:cs="Arial"/>
          <w:color w:val="000000" w:themeColor="text1"/>
        </w:rPr>
      </w:pPr>
      <w:r w:rsidRPr="0090668D">
        <w:rPr>
          <w:rFonts w:cs="Arial"/>
          <w:color w:val="000000" w:themeColor="text1"/>
        </w:rPr>
        <w:t>Jonathan Noad</w:t>
      </w:r>
    </w:p>
    <w:p w:rsidR="0090668D" w:rsidRPr="0090668D" w:rsidRDefault="0090668D" w:rsidP="001C5E49">
      <w:pPr>
        <w:tabs>
          <w:tab w:val="left" w:pos="2839"/>
        </w:tabs>
        <w:rPr>
          <w:rFonts w:cs="Arial"/>
          <w:color w:val="000000" w:themeColor="text1"/>
        </w:rPr>
      </w:pPr>
      <w:r w:rsidRPr="0090668D">
        <w:rPr>
          <w:rFonts w:cs="Arial"/>
          <w:color w:val="000000" w:themeColor="text1"/>
        </w:rPr>
        <w:t>Director of Planning and Property</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2177"/>
        <w:gridCol w:w="2353"/>
      </w:tblGrid>
      <w:tr w:rsidR="001C5E49" w:rsidTr="003B246D">
        <w:tc>
          <w:tcPr>
            <w:tcW w:w="4990" w:type="dxa"/>
            <w:shd w:val="clear" w:color="auto" w:fill="auto"/>
          </w:tcPr>
          <w:p w:rsidR="001C5E49" w:rsidRPr="0031059E" w:rsidRDefault="001C5E49" w:rsidP="00E2196F">
            <w:pPr>
              <w:rPr>
                <w:rFonts w:cs="Arial"/>
              </w:rPr>
            </w:pPr>
            <w:r w:rsidRPr="0031059E">
              <w:rPr>
                <w:rFonts w:cs="Arial"/>
              </w:rPr>
              <w:t>Report Author:</w:t>
            </w:r>
          </w:p>
        </w:tc>
        <w:tc>
          <w:tcPr>
            <w:tcW w:w="2177" w:type="dxa"/>
            <w:shd w:val="clear" w:color="auto" w:fill="auto"/>
          </w:tcPr>
          <w:p w:rsidR="001C5E49" w:rsidRPr="0031059E" w:rsidRDefault="001C5E49" w:rsidP="00E2196F">
            <w:pPr>
              <w:rPr>
                <w:rFonts w:cs="Arial"/>
              </w:rPr>
            </w:pPr>
            <w:r w:rsidRPr="0031059E">
              <w:rPr>
                <w:rFonts w:cs="Arial"/>
              </w:rPr>
              <w:t>Telephone:</w:t>
            </w:r>
          </w:p>
        </w:tc>
        <w:tc>
          <w:tcPr>
            <w:tcW w:w="2353" w:type="dxa"/>
            <w:shd w:val="clear" w:color="auto" w:fill="auto"/>
          </w:tcPr>
          <w:p w:rsidR="001C5E49" w:rsidRPr="0031059E" w:rsidRDefault="001C5E49" w:rsidP="00E2196F">
            <w:pPr>
              <w:rPr>
                <w:rFonts w:cs="Arial"/>
              </w:rPr>
            </w:pPr>
            <w:r w:rsidRPr="0031059E">
              <w:rPr>
                <w:rFonts w:cs="Arial"/>
              </w:rPr>
              <w:t>Date:</w:t>
            </w:r>
          </w:p>
        </w:tc>
      </w:tr>
      <w:tr w:rsidR="00C903AC" w:rsidTr="003B246D">
        <w:tc>
          <w:tcPr>
            <w:tcW w:w="4990" w:type="dxa"/>
            <w:shd w:val="clear" w:color="auto" w:fill="auto"/>
          </w:tcPr>
          <w:p w:rsidR="00C903AC" w:rsidRPr="00396592" w:rsidRDefault="00396592" w:rsidP="00C903AC">
            <w:pPr>
              <w:rPr>
                <w:rFonts w:cs="Arial"/>
                <w:color w:val="000000" w:themeColor="text1"/>
              </w:rPr>
            </w:pPr>
            <w:r w:rsidRPr="00396592">
              <w:rPr>
                <w:rFonts w:cs="Arial"/>
                <w:color w:val="000000" w:themeColor="text1"/>
              </w:rPr>
              <w:t>Jonathan Noad</w:t>
            </w:r>
          </w:p>
          <w:p w:rsidR="00C903AC" w:rsidRPr="0031059E" w:rsidRDefault="00C903AC" w:rsidP="00C903AC">
            <w:pPr>
              <w:ind w:left="-539" w:firstLine="539"/>
              <w:rPr>
                <w:rFonts w:cs="Arial"/>
              </w:rPr>
            </w:pPr>
          </w:p>
        </w:tc>
        <w:tc>
          <w:tcPr>
            <w:tcW w:w="2177" w:type="dxa"/>
            <w:shd w:val="clear" w:color="auto" w:fill="auto"/>
          </w:tcPr>
          <w:p w:rsidR="00C903AC" w:rsidRPr="0031059E" w:rsidRDefault="00396592" w:rsidP="00C903AC">
            <w:pPr>
              <w:rPr>
                <w:rFonts w:cs="Arial"/>
              </w:rPr>
            </w:pPr>
            <w:r>
              <w:rPr>
                <w:rFonts w:cs="Arial"/>
              </w:rPr>
              <w:t>01772 625206</w:t>
            </w:r>
          </w:p>
        </w:tc>
        <w:tc>
          <w:tcPr>
            <w:tcW w:w="2353" w:type="dxa"/>
            <w:shd w:val="clear" w:color="auto" w:fill="auto"/>
          </w:tcPr>
          <w:p w:rsidR="00C903AC" w:rsidRPr="0031059E" w:rsidRDefault="00D622C5" w:rsidP="007D706E">
            <w:pPr>
              <w:rPr>
                <w:rFonts w:cs="Arial"/>
              </w:rPr>
            </w:pPr>
            <w:r>
              <w:rPr>
                <w:rFonts w:cs="Arial"/>
              </w:rPr>
              <w:t>30</w:t>
            </w:r>
            <w:r w:rsidR="00DD22E3">
              <w:rPr>
                <w:rFonts w:cs="Arial"/>
              </w:rPr>
              <w:t>/0</w:t>
            </w:r>
            <w:r w:rsidR="007D706E">
              <w:rPr>
                <w:rFonts w:cs="Arial"/>
              </w:rPr>
              <w:t>8</w:t>
            </w:r>
            <w:r w:rsidR="00DD22E3">
              <w:rPr>
                <w:rFonts w:cs="Arial"/>
              </w:rPr>
              <w:t>/2019</w:t>
            </w:r>
          </w:p>
        </w:tc>
      </w:tr>
    </w:tbl>
    <w:p w:rsidR="001C5E49" w:rsidRDefault="001C5E49"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B924A8" w:rsidRDefault="00B924A8"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0E06AB" w:rsidRDefault="000E06AB" w:rsidP="001C5E49">
      <w:pPr>
        <w:tabs>
          <w:tab w:val="left" w:pos="2839"/>
        </w:tabs>
        <w:rPr>
          <w:rFonts w:cs="Arial"/>
        </w:rPr>
      </w:pPr>
    </w:p>
    <w:p w:rsidR="007D706E" w:rsidRDefault="007D706E" w:rsidP="001C5E49">
      <w:pPr>
        <w:tabs>
          <w:tab w:val="left" w:pos="2839"/>
        </w:tabs>
        <w:rPr>
          <w:rFonts w:cs="Arial"/>
        </w:rPr>
      </w:pPr>
    </w:p>
    <w:p w:rsidR="007D706E" w:rsidRDefault="007D706E" w:rsidP="001C5E49">
      <w:pPr>
        <w:tabs>
          <w:tab w:val="left" w:pos="2839"/>
        </w:tabs>
        <w:rPr>
          <w:rFonts w:cs="Arial"/>
        </w:rPr>
      </w:pPr>
    </w:p>
    <w:p w:rsidR="007D706E" w:rsidRDefault="007D706E" w:rsidP="001C5E49">
      <w:pPr>
        <w:tabs>
          <w:tab w:val="left" w:pos="2839"/>
        </w:tabs>
        <w:rPr>
          <w:rFonts w:cs="Arial"/>
        </w:rPr>
      </w:pPr>
    </w:p>
    <w:p w:rsidR="000E06AB" w:rsidRDefault="000E06AB" w:rsidP="00F24403">
      <w:pPr>
        <w:rPr>
          <w:rFonts w:cs="Arial"/>
        </w:rPr>
      </w:pPr>
    </w:p>
    <w:p w:rsidR="007D6143" w:rsidRDefault="007D6143" w:rsidP="001C5E49">
      <w:pPr>
        <w:tabs>
          <w:tab w:val="left" w:pos="2839"/>
        </w:tabs>
        <w:rPr>
          <w:noProof/>
        </w:rPr>
      </w:pPr>
    </w:p>
    <w:p w:rsidR="007D6143" w:rsidRDefault="007D6143" w:rsidP="001C5E49">
      <w:pPr>
        <w:tabs>
          <w:tab w:val="left" w:pos="2839"/>
        </w:tabs>
        <w:rPr>
          <w:noProof/>
        </w:rPr>
      </w:pPr>
    </w:p>
    <w:p w:rsidR="007D6143" w:rsidRDefault="007D6143" w:rsidP="001C5E49">
      <w:pPr>
        <w:tabs>
          <w:tab w:val="left" w:pos="2839"/>
        </w:tabs>
        <w:rPr>
          <w:rFonts w:cs="Arial"/>
        </w:rPr>
      </w:pPr>
    </w:p>
    <w:p w:rsidR="007D6143" w:rsidRDefault="007D6143" w:rsidP="001C5E49">
      <w:pPr>
        <w:tabs>
          <w:tab w:val="left" w:pos="2839"/>
        </w:tabs>
        <w:rPr>
          <w:rFonts w:cs="Arial"/>
        </w:rPr>
      </w:pPr>
    </w:p>
    <w:p w:rsidR="007D6143" w:rsidRPr="009725FB" w:rsidRDefault="007D6143" w:rsidP="001C5E49">
      <w:pPr>
        <w:tabs>
          <w:tab w:val="left" w:pos="2839"/>
        </w:tabs>
        <w:rPr>
          <w:rFonts w:cs="Arial"/>
        </w:rPr>
      </w:pPr>
    </w:p>
    <w:sectPr w:rsidR="007D6143"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555" w:rsidRDefault="007C3555">
      <w:r>
        <w:separator/>
      </w:r>
    </w:p>
  </w:endnote>
  <w:endnote w:type="continuationSeparator" w:id="0">
    <w:p w:rsidR="007C3555" w:rsidRDefault="007C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3722E">
      <w:rPr>
        <w:noProof/>
        <w:sz w:val="24"/>
      </w:rPr>
      <w:t>2</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555" w:rsidRDefault="007C3555">
      <w:r>
        <w:separator/>
      </w:r>
    </w:p>
  </w:footnote>
  <w:footnote w:type="continuationSeparator" w:id="0">
    <w:p w:rsidR="007C3555" w:rsidRDefault="007C3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27D166A"/>
    <w:multiLevelType w:val="hybridMultilevel"/>
    <w:tmpl w:val="B706DEDC"/>
    <w:lvl w:ilvl="0" w:tplc="C42447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88720EA"/>
    <w:multiLevelType w:val="hybridMultilevel"/>
    <w:tmpl w:val="56CAE17C"/>
    <w:lvl w:ilvl="0" w:tplc="016626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F18B5"/>
    <w:multiLevelType w:val="hybridMultilevel"/>
    <w:tmpl w:val="13F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7"/>
  </w:num>
  <w:num w:numId="7">
    <w:abstractNumId w:val="5"/>
  </w:num>
  <w:num w:numId="8">
    <w:abstractNumId w:val="6"/>
  </w:num>
  <w:num w:numId="9">
    <w:abstractNumId w:val="2"/>
  </w:num>
  <w:num w:numId="10">
    <w:abstractNumId w:val="3"/>
  </w:num>
  <w:num w:numId="11">
    <w:abstractNumId w:val="4"/>
  </w:num>
  <w:num w:numId="12">
    <w:abstractNumId w:val="11"/>
  </w:num>
  <w:num w:numId="13">
    <w:abstractNumId w:val="0"/>
  </w:num>
  <w:num w:numId="14">
    <w:abstractNumId w:val="17"/>
  </w:num>
  <w:num w:numId="15">
    <w:abstractNumId w:val="8"/>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28E"/>
    <w:rsid w:val="00002742"/>
    <w:rsid w:val="00016DD3"/>
    <w:rsid w:val="00025DED"/>
    <w:rsid w:val="00041991"/>
    <w:rsid w:val="00084D01"/>
    <w:rsid w:val="000913DC"/>
    <w:rsid w:val="000B5251"/>
    <w:rsid w:val="000E06AB"/>
    <w:rsid w:val="000E10FE"/>
    <w:rsid w:val="000F2C8A"/>
    <w:rsid w:val="00117429"/>
    <w:rsid w:val="001544DD"/>
    <w:rsid w:val="00184E1D"/>
    <w:rsid w:val="001938D6"/>
    <w:rsid w:val="001C5E49"/>
    <w:rsid w:val="001F1729"/>
    <w:rsid w:val="001F44D9"/>
    <w:rsid w:val="002221BD"/>
    <w:rsid w:val="0025385E"/>
    <w:rsid w:val="0025591B"/>
    <w:rsid w:val="00277384"/>
    <w:rsid w:val="002820A5"/>
    <w:rsid w:val="002D5837"/>
    <w:rsid w:val="002E4FF4"/>
    <w:rsid w:val="002F3C4B"/>
    <w:rsid w:val="002F5C5E"/>
    <w:rsid w:val="00301848"/>
    <w:rsid w:val="00334641"/>
    <w:rsid w:val="00342AB1"/>
    <w:rsid w:val="00345C71"/>
    <w:rsid w:val="0034751D"/>
    <w:rsid w:val="0035669B"/>
    <w:rsid w:val="0036191D"/>
    <w:rsid w:val="00386AAD"/>
    <w:rsid w:val="003902A2"/>
    <w:rsid w:val="00396592"/>
    <w:rsid w:val="003A1B3F"/>
    <w:rsid w:val="003A23D3"/>
    <w:rsid w:val="003A2919"/>
    <w:rsid w:val="003B1E6D"/>
    <w:rsid w:val="003B246D"/>
    <w:rsid w:val="003C36EB"/>
    <w:rsid w:val="003E33E6"/>
    <w:rsid w:val="003F5603"/>
    <w:rsid w:val="00405D4A"/>
    <w:rsid w:val="004218EA"/>
    <w:rsid w:val="00442C46"/>
    <w:rsid w:val="004636CE"/>
    <w:rsid w:val="00473846"/>
    <w:rsid w:val="00474DA8"/>
    <w:rsid w:val="0047741D"/>
    <w:rsid w:val="00497C9C"/>
    <w:rsid w:val="004A45D4"/>
    <w:rsid w:val="004D2F16"/>
    <w:rsid w:val="004D7260"/>
    <w:rsid w:val="004E358C"/>
    <w:rsid w:val="004F23B3"/>
    <w:rsid w:val="005041BB"/>
    <w:rsid w:val="00525728"/>
    <w:rsid w:val="00533525"/>
    <w:rsid w:val="00534F52"/>
    <w:rsid w:val="00547120"/>
    <w:rsid w:val="00547481"/>
    <w:rsid w:val="00563B8F"/>
    <w:rsid w:val="00566804"/>
    <w:rsid w:val="00576A82"/>
    <w:rsid w:val="0059108D"/>
    <w:rsid w:val="005A26AD"/>
    <w:rsid w:val="005A744E"/>
    <w:rsid w:val="005B0C36"/>
    <w:rsid w:val="005D4F59"/>
    <w:rsid w:val="0060374B"/>
    <w:rsid w:val="00605E93"/>
    <w:rsid w:val="00616636"/>
    <w:rsid w:val="00630F86"/>
    <w:rsid w:val="00633396"/>
    <w:rsid w:val="00642EE9"/>
    <w:rsid w:val="00645A0B"/>
    <w:rsid w:val="006555E6"/>
    <w:rsid w:val="006879CA"/>
    <w:rsid w:val="006B0377"/>
    <w:rsid w:val="006B645E"/>
    <w:rsid w:val="006B7116"/>
    <w:rsid w:val="006C04C1"/>
    <w:rsid w:val="006C209A"/>
    <w:rsid w:val="006E09FB"/>
    <w:rsid w:val="006F2214"/>
    <w:rsid w:val="006F76A3"/>
    <w:rsid w:val="00707E99"/>
    <w:rsid w:val="00712E3F"/>
    <w:rsid w:val="0073722E"/>
    <w:rsid w:val="00772B9C"/>
    <w:rsid w:val="00792A2B"/>
    <w:rsid w:val="007A4002"/>
    <w:rsid w:val="007C3555"/>
    <w:rsid w:val="007D6143"/>
    <w:rsid w:val="007D706E"/>
    <w:rsid w:val="007E081A"/>
    <w:rsid w:val="00827EC3"/>
    <w:rsid w:val="00872AEA"/>
    <w:rsid w:val="00893AD2"/>
    <w:rsid w:val="008A2F6B"/>
    <w:rsid w:val="008A42E3"/>
    <w:rsid w:val="008A77AB"/>
    <w:rsid w:val="008B41C5"/>
    <w:rsid w:val="008C3B1A"/>
    <w:rsid w:val="008D17A3"/>
    <w:rsid w:val="008D623F"/>
    <w:rsid w:val="008F4B91"/>
    <w:rsid w:val="0090542C"/>
    <w:rsid w:val="0090668D"/>
    <w:rsid w:val="009350CB"/>
    <w:rsid w:val="009538AE"/>
    <w:rsid w:val="00960BFC"/>
    <w:rsid w:val="009616AA"/>
    <w:rsid w:val="00977E61"/>
    <w:rsid w:val="00980267"/>
    <w:rsid w:val="00983CD5"/>
    <w:rsid w:val="00991307"/>
    <w:rsid w:val="00992E79"/>
    <w:rsid w:val="009A714A"/>
    <w:rsid w:val="009C1143"/>
    <w:rsid w:val="009E48E0"/>
    <w:rsid w:val="009F108C"/>
    <w:rsid w:val="009F58B8"/>
    <w:rsid w:val="00A1406A"/>
    <w:rsid w:val="00A22D02"/>
    <w:rsid w:val="00A252AE"/>
    <w:rsid w:val="00A30426"/>
    <w:rsid w:val="00A31B52"/>
    <w:rsid w:val="00A43F6B"/>
    <w:rsid w:val="00A46A09"/>
    <w:rsid w:val="00A4702E"/>
    <w:rsid w:val="00A50754"/>
    <w:rsid w:val="00A56681"/>
    <w:rsid w:val="00A66C4D"/>
    <w:rsid w:val="00A6789A"/>
    <w:rsid w:val="00A71785"/>
    <w:rsid w:val="00A76482"/>
    <w:rsid w:val="00A83634"/>
    <w:rsid w:val="00A917F5"/>
    <w:rsid w:val="00AA2DF2"/>
    <w:rsid w:val="00AC4A99"/>
    <w:rsid w:val="00AD6580"/>
    <w:rsid w:val="00B05FE8"/>
    <w:rsid w:val="00B1788B"/>
    <w:rsid w:val="00B443DD"/>
    <w:rsid w:val="00B51DB8"/>
    <w:rsid w:val="00B610BF"/>
    <w:rsid w:val="00B62D79"/>
    <w:rsid w:val="00B70B91"/>
    <w:rsid w:val="00B716F5"/>
    <w:rsid w:val="00B72A06"/>
    <w:rsid w:val="00B75EFD"/>
    <w:rsid w:val="00B766C4"/>
    <w:rsid w:val="00B92298"/>
    <w:rsid w:val="00B924A8"/>
    <w:rsid w:val="00B96FEC"/>
    <w:rsid w:val="00BA2606"/>
    <w:rsid w:val="00BC6635"/>
    <w:rsid w:val="00BC66B8"/>
    <w:rsid w:val="00BE2A3F"/>
    <w:rsid w:val="00BE55F1"/>
    <w:rsid w:val="00C001CC"/>
    <w:rsid w:val="00C022F9"/>
    <w:rsid w:val="00C12B1B"/>
    <w:rsid w:val="00C209E3"/>
    <w:rsid w:val="00C30128"/>
    <w:rsid w:val="00C31CA9"/>
    <w:rsid w:val="00C52450"/>
    <w:rsid w:val="00C64ED1"/>
    <w:rsid w:val="00C66BAA"/>
    <w:rsid w:val="00C73E5F"/>
    <w:rsid w:val="00C903AC"/>
    <w:rsid w:val="00CA5E94"/>
    <w:rsid w:val="00CB32DF"/>
    <w:rsid w:val="00CC0F55"/>
    <w:rsid w:val="00CC3246"/>
    <w:rsid w:val="00CE3DA1"/>
    <w:rsid w:val="00CE4482"/>
    <w:rsid w:val="00CF6B60"/>
    <w:rsid w:val="00D03328"/>
    <w:rsid w:val="00D36638"/>
    <w:rsid w:val="00D37BAE"/>
    <w:rsid w:val="00D622C5"/>
    <w:rsid w:val="00D772AB"/>
    <w:rsid w:val="00D83ACB"/>
    <w:rsid w:val="00D90A00"/>
    <w:rsid w:val="00D91845"/>
    <w:rsid w:val="00D9371C"/>
    <w:rsid w:val="00DB3FD0"/>
    <w:rsid w:val="00DD22E3"/>
    <w:rsid w:val="00DD3F00"/>
    <w:rsid w:val="00DE5E12"/>
    <w:rsid w:val="00E2196F"/>
    <w:rsid w:val="00E2276E"/>
    <w:rsid w:val="00E41950"/>
    <w:rsid w:val="00E47C8E"/>
    <w:rsid w:val="00E569CB"/>
    <w:rsid w:val="00E577A2"/>
    <w:rsid w:val="00E60A53"/>
    <w:rsid w:val="00E63940"/>
    <w:rsid w:val="00E733A5"/>
    <w:rsid w:val="00E753EC"/>
    <w:rsid w:val="00E84459"/>
    <w:rsid w:val="00E971A2"/>
    <w:rsid w:val="00EB084A"/>
    <w:rsid w:val="00EB2D32"/>
    <w:rsid w:val="00EB7C94"/>
    <w:rsid w:val="00ED257A"/>
    <w:rsid w:val="00EF3F77"/>
    <w:rsid w:val="00F24403"/>
    <w:rsid w:val="00F3057A"/>
    <w:rsid w:val="00F30E9C"/>
    <w:rsid w:val="00F3110B"/>
    <w:rsid w:val="00F43895"/>
    <w:rsid w:val="00F468E1"/>
    <w:rsid w:val="00F5317A"/>
    <w:rsid w:val="00F55E4D"/>
    <w:rsid w:val="00F61752"/>
    <w:rsid w:val="00F67F95"/>
    <w:rsid w:val="00F9206A"/>
    <w:rsid w:val="00FA09FB"/>
    <w:rsid w:val="00FB175A"/>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62203471">
      <w:bodyDiv w:val="1"/>
      <w:marLeft w:val="0"/>
      <w:marRight w:val="0"/>
      <w:marTop w:val="0"/>
      <w:marBottom w:val="0"/>
      <w:divBdr>
        <w:top w:val="none" w:sz="0" w:space="0" w:color="auto"/>
        <w:left w:val="none" w:sz="0" w:space="0" w:color="auto"/>
        <w:bottom w:val="none" w:sz="0" w:space="0" w:color="auto"/>
        <w:right w:val="none" w:sz="0" w:space="0" w:color="auto"/>
      </w:divBdr>
    </w:div>
    <w:div w:id="15617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lanningregister.lanca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8E45-7E11-4227-A937-7374DCB1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933</Words>
  <Characters>5258</Characters>
  <Application>Microsoft Office Word</Application>
  <DocSecurity>4</DocSecurity>
  <Lines>2629</Lines>
  <Paragraphs>442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2018-03-14T15:24:00Z</cp:lastPrinted>
  <dcterms:created xsi:type="dcterms:W3CDTF">2019-09-03T14:26:00Z</dcterms:created>
  <dcterms:modified xsi:type="dcterms:W3CDTF">2019-09-03T14:26:00Z</dcterms:modified>
</cp:coreProperties>
</file>